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1C0" w:rsidRDefault="00417920" w:rsidP="00AA458A">
      <w:pPr>
        <w:spacing w:after="60" w:line="252" w:lineRule="auto"/>
        <w:contextualSpacing/>
        <w:jc w:val="center"/>
        <w:rPr>
          <w:b/>
        </w:rPr>
      </w:pPr>
      <w:r w:rsidRPr="00417920">
        <w:rPr>
          <w:b/>
        </w:rPr>
        <w:t>Ratio Pedagógiai Kutatócsoport</w:t>
      </w:r>
    </w:p>
    <w:p w:rsidR="00417920" w:rsidRDefault="00417920" w:rsidP="00AA458A">
      <w:pPr>
        <w:spacing w:after="60" w:line="252" w:lineRule="auto"/>
        <w:contextualSpacing/>
        <w:jc w:val="both"/>
        <w:rPr>
          <w:b/>
        </w:rPr>
      </w:pPr>
    </w:p>
    <w:p w:rsidR="00417920" w:rsidRPr="00417920" w:rsidRDefault="00417920" w:rsidP="00413C0F">
      <w:pPr>
        <w:spacing w:after="120" w:line="252" w:lineRule="auto"/>
        <w:jc w:val="both"/>
        <w:rPr>
          <w:b/>
        </w:rPr>
      </w:pPr>
      <w:r>
        <w:rPr>
          <w:b/>
        </w:rPr>
        <w:t>A kutatócsoport célkitűzése</w:t>
      </w:r>
    </w:p>
    <w:p w:rsidR="00FB15F9" w:rsidRDefault="00FB15F9" w:rsidP="00FB15F9">
      <w:pPr>
        <w:pStyle w:val="Normlnywebov"/>
        <w:spacing w:before="0" w:beforeAutospacing="0" w:after="0" w:afterAutospacing="0"/>
        <w:rPr>
          <w:rFonts w:ascii="Verdana" w:hAnsi="Verdana"/>
          <w:color w:val="111111"/>
          <w:sz w:val="20"/>
          <w:szCs w:val="20"/>
        </w:rPr>
      </w:pPr>
      <w:r>
        <w:rPr>
          <w:rFonts w:ascii="Verdana" w:hAnsi="Verdana"/>
          <w:color w:val="111111"/>
          <w:sz w:val="20"/>
          <w:szCs w:val="20"/>
        </w:rPr>
        <w:t> </w:t>
      </w:r>
    </w:p>
    <w:p w:rsidR="00FB15F9" w:rsidRDefault="00FB15F9" w:rsidP="00AA458A">
      <w:pPr>
        <w:spacing w:after="60" w:line="252" w:lineRule="auto"/>
        <w:contextualSpacing/>
        <w:jc w:val="both"/>
      </w:pPr>
    </w:p>
    <w:p w:rsidR="00417920" w:rsidRPr="00417920" w:rsidRDefault="00417920" w:rsidP="00AA458A">
      <w:pPr>
        <w:spacing w:after="60" w:line="252" w:lineRule="auto"/>
        <w:contextualSpacing/>
        <w:jc w:val="both"/>
      </w:pPr>
      <w:r w:rsidRPr="00417920">
        <w:t>Empirikus pedagógiai, pszichológiai, nevelésszociológiai kutatások folytatása a Kárpát-medencei közoktatás, pedagógusképzés és felsőoktatás-pedagógia területén.</w:t>
      </w:r>
    </w:p>
    <w:p w:rsidR="00417920" w:rsidRDefault="00417920" w:rsidP="00AA458A">
      <w:pPr>
        <w:spacing w:after="60" w:line="252" w:lineRule="auto"/>
        <w:contextualSpacing/>
        <w:jc w:val="both"/>
        <w:rPr>
          <w:b/>
        </w:rPr>
      </w:pPr>
    </w:p>
    <w:p w:rsidR="00AA458A" w:rsidRPr="00417920" w:rsidRDefault="00AA458A" w:rsidP="00AA458A">
      <w:pPr>
        <w:spacing w:after="60" w:line="252" w:lineRule="auto"/>
        <w:contextualSpacing/>
        <w:jc w:val="both"/>
        <w:rPr>
          <w:b/>
        </w:rPr>
      </w:pPr>
    </w:p>
    <w:p w:rsidR="00417920" w:rsidRPr="00417920" w:rsidRDefault="00417920" w:rsidP="00AA458A">
      <w:pPr>
        <w:spacing w:after="60" w:line="252" w:lineRule="auto"/>
        <w:contextualSpacing/>
        <w:jc w:val="both"/>
        <w:rPr>
          <w:b/>
        </w:rPr>
      </w:pPr>
      <w:r>
        <w:rPr>
          <w:b/>
        </w:rPr>
        <w:t>Kutatási területek</w:t>
      </w:r>
    </w:p>
    <w:p w:rsidR="00417920" w:rsidRPr="00417920" w:rsidRDefault="00417920" w:rsidP="00AA458A">
      <w:pPr>
        <w:pStyle w:val="Odsekzoznamu"/>
        <w:numPr>
          <w:ilvl w:val="0"/>
          <w:numId w:val="1"/>
        </w:numPr>
        <w:spacing w:after="60" w:line="252" w:lineRule="auto"/>
        <w:jc w:val="both"/>
      </w:pPr>
      <w:r w:rsidRPr="00417920">
        <w:t>Lemorzsolódás-kutatás</w:t>
      </w:r>
    </w:p>
    <w:p w:rsidR="00417920" w:rsidRPr="00417920" w:rsidRDefault="00417920" w:rsidP="00AA458A">
      <w:pPr>
        <w:pStyle w:val="Odsekzoznamu"/>
        <w:numPr>
          <w:ilvl w:val="0"/>
          <w:numId w:val="1"/>
        </w:numPr>
        <w:spacing w:after="60" w:line="252" w:lineRule="auto"/>
        <w:jc w:val="both"/>
      </w:pPr>
      <w:r w:rsidRPr="00417920">
        <w:t>Pedagóguskutatások, tanári kompetenciák</w:t>
      </w:r>
    </w:p>
    <w:p w:rsidR="00417920" w:rsidRPr="00417920" w:rsidRDefault="00417920" w:rsidP="00AA458A">
      <w:pPr>
        <w:pStyle w:val="Odsekzoznamu"/>
        <w:numPr>
          <w:ilvl w:val="0"/>
          <w:numId w:val="1"/>
        </w:numPr>
        <w:spacing w:after="60" w:line="252" w:lineRule="auto"/>
        <w:jc w:val="both"/>
      </w:pPr>
      <w:r w:rsidRPr="00417920">
        <w:t>Egyéni különbségek szerepe a tanulásban</w:t>
      </w:r>
    </w:p>
    <w:p w:rsidR="00417920" w:rsidRPr="00417920" w:rsidRDefault="00417920" w:rsidP="00AA458A">
      <w:pPr>
        <w:pStyle w:val="Odsekzoznamu"/>
        <w:numPr>
          <w:ilvl w:val="0"/>
          <w:numId w:val="1"/>
        </w:numPr>
        <w:spacing w:after="60" w:line="252" w:lineRule="auto"/>
        <w:jc w:val="both"/>
      </w:pPr>
      <w:r w:rsidRPr="00417920">
        <w:t>Speciális bánásmódot igénylő tanulók</w:t>
      </w:r>
    </w:p>
    <w:p w:rsidR="00417920" w:rsidRPr="00417920" w:rsidRDefault="00417920" w:rsidP="00AA458A">
      <w:pPr>
        <w:pStyle w:val="Odsekzoznamu"/>
        <w:numPr>
          <w:ilvl w:val="0"/>
          <w:numId w:val="1"/>
        </w:numPr>
        <w:spacing w:after="60" w:line="252" w:lineRule="auto"/>
        <w:jc w:val="both"/>
      </w:pPr>
      <w:r w:rsidRPr="00417920">
        <w:t>Oktatásszociológiai kutatások</w:t>
      </w:r>
    </w:p>
    <w:p w:rsidR="00417920" w:rsidRPr="00417920" w:rsidRDefault="00417920" w:rsidP="00AA458A">
      <w:pPr>
        <w:pStyle w:val="Odsekzoznamu"/>
        <w:numPr>
          <w:ilvl w:val="0"/>
          <w:numId w:val="1"/>
        </w:numPr>
        <w:spacing w:after="60" w:line="252" w:lineRule="auto"/>
        <w:jc w:val="both"/>
      </w:pPr>
      <w:r w:rsidRPr="00417920">
        <w:t>Kisebbségkutatások</w:t>
      </w:r>
    </w:p>
    <w:p w:rsidR="00417920" w:rsidRPr="00417920" w:rsidRDefault="00417920" w:rsidP="00AA458A">
      <w:pPr>
        <w:pStyle w:val="Odsekzoznamu"/>
        <w:numPr>
          <w:ilvl w:val="0"/>
          <w:numId w:val="1"/>
        </w:numPr>
        <w:spacing w:after="60" w:line="252" w:lineRule="auto"/>
        <w:jc w:val="both"/>
      </w:pPr>
      <w:r w:rsidRPr="00417920">
        <w:t>Összehasonlító pedagógia</w:t>
      </w:r>
    </w:p>
    <w:p w:rsidR="00417920" w:rsidRPr="00417920" w:rsidRDefault="00417920" w:rsidP="00AA458A">
      <w:pPr>
        <w:pStyle w:val="Odsekzoznamu"/>
        <w:numPr>
          <w:ilvl w:val="0"/>
          <w:numId w:val="1"/>
        </w:numPr>
        <w:spacing w:after="60" w:line="252" w:lineRule="auto"/>
        <w:jc w:val="both"/>
      </w:pPr>
      <w:r w:rsidRPr="00417920">
        <w:t>A tanítás és tanulás élettani hatásai</w:t>
      </w:r>
    </w:p>
    <w:p w:rsidR="00417920" w:rsidRPr="00417920" w:rsidRDefault="00417920" w:rsidP="00AA458A">
      <w:pPr>
        <w:pStyle w:val="Odsekzoznamu"/>
        <w:numPr>
          <w:ilvl w:val="0"/>
          <w:numId w:val="1"/>
        </w:numPr>
        <w:spacing w:after="60" w:line="252" w:lineRule="auto"/>
        <w:jc w:val="both"/>
      </w:pPr>
      <w:r w:rsidRPr="00417920">
        <w:t>Pályaorientáció, pályaattitűd</w:t>
      </w:r>
    </w:p>
    <w:p w:rsidR="00417920" w:rsidRDefault="00417920" w:rsidP="00AA458A">
      <w:pPr>
        <w:spacing w:after="60" w:line="252" w:lineRule="auto"/>
        <w:contextualSpacing/>
        <w:jc w:val="both"/>
        <w:rPr>
          <w:b/>
        </w:rPr>
      </w:pPr>
    </w:p>
    <w:p w:rsidR="00AA458A" w:rsidRPr="00417920" w:rsidRDefault="00AA458A" w:rsidP="00AA458A">
      <w:pPr>
        <w:spacing w:after="60" w:line="252" w:lineRule="auto"/>
        <w:contextualSpacing/>
        <w:jc w:val="both"/>
        <w:rPr>
          <w:b/>
        </w:rPr>
      </w:pPr>
    </w:p>
    <w:p w:rsidR="00417920" w:rsidRPr="00417920" w:rsidRDefault="00417920" w:rsidP="00AA458A">
      <w:pPr>
        <w:spacing w:after="60" w:line="252" w:lineRule="auto"/>
        <w:contextualSpacing/>
        <w:jc w:val="both"/>
        <w:rPr>
          <w:b/>
        </w:rPr>
      </w:pPr>
      <w:r>
        <w:rPr>
          <w:b/>
        </w:rPr>
        <w:t>Aktivitások</w:t>
      </w:r>
    </w:p>
    <w:p w:rsidR="00417920" w:rsidRPr="00417920" w:rsidRDefault="00417920" w:rsidP="00AA458A">
      <w:pPr>
        <w:pStyle w:val="Odsekzoznamu"/>
        <w:numPr>
          <w:ilvl w:val="0"/>
          <w:numId w:val="2"/>
        </w:numPr>
        <w:spacing w:after="60" w:line="252" w:lineRule="auto"/>
        <w:jc w:val="both"/>
      </w:pPr>
      <w:r w:rsidRPr="00417920">
        <w:t>Egyéni és csoportos kutatások folytatása</w:t>
      </w:r>
    </w:p>
    <w:p w:rsidR="00417920" w:rsidRPr="00417920" w:rsidRDefault="00417920" w:rsidP="00AA458A">
      <w:pPr>
        <w:pStyle w:val="Odsekzoznamu"/>
        <w:numPr>
          <w:ilvl w:val="0"/>
          <w:numId w:val="2"/>
        </w:numPr>
        <w:spacing w:after="60" w:line="252" w:lineRule="auto"/>
        <w:jc w:val="both"/>
      </w:pPr>
      <w:r w:rsidRPr="00417920">
        <w:t>Beszámoló a kutatási eredményekről az évente tartandó műhelyfoglalkozások keretében</w:t>
      </w:r>
    </w:p>
    <w:p w:rsidR="00417920" w:rsidRPr="00417920" w:rsidRDefault="00417920" w:rsidP="00AA458A">
      <w:pPr>
        <w:pStyle w:val="Odsekzoznamu"/>
        <w:numPr>
          <w:ilvl w:val="0"/>
          <w:numId w:val="2"/>
        </w:numPr>
        <w:spacing w:after="60" w:line="252" w:lineRule="auto"/>
        <w:jc w:val="both"/>
      </w:pPr>
      <w:r w:rsidRPr="00417920">
        <w:t xml:space="preserve">A kutatási eredmények </w:t>
      </w:r>
      <w:proofErr w:type="spellStart"/>
      <w:r w:rsidRPr="00417920">
        <w:t>disszeminálása</w:t>
      </w:r>
      <w:proofErr w:type="spellEnd"/>
      <w:r w:rsidRPr="00417920">
        <w:t xml:space="preserve"> nívós konferenciákon, szakmai folyóiratokban, szakkönyvekben</w:t>
      </w:r>
    </w:p>
    <w:p w:rsidR="00417920" w:rsidRPr="00417920" w:rsidRDefault="00417920" w:rsidP="00AA458A">
      <w:pPr>
        <w:pStyle w:val="Odsekzoznamu"/>
        <w:numPr>
          <w:ilvl w:val="0"/>
          <w:numId w:val="2"/>
        </w:numPr>
        <w:spacing w:after="60" w:line="252" w:lineRule="auto"/>
        <w:jc w:val="both"/>
      </w:pPr>
      <w:r w:rsidRPr="00417920">
        <w:t>Közreműködés a Kárpát-medencei Ok</w:t>
      </w:r>
      <w:r w:rsidR="003C446C">
        <w:t>tatási Konferencia megszervezésében</w:t>
      </w:r>
    </w:p>
    <w:p w:rsidR="00417920" w:rsidRPr="00417920" w:rsidRDefault="00417920" w:rsidP="00AA458A">
      <w:pPr>
        <w:pStyle w:val="Odsekzoznamu"/>
        <w:numPr>
          <w:ilvl w:val="0"/>
          <w:numId w:val="2"/>
        </w:numPr>
        <w:spacing w:after="60" w:line="252" w:lineRule="auto"/>
        <w:jc w:val="both"/>
      </w:pPr>
      <w:r w:rsidRPr="00417920">
        <w:t>Kutatási pályázatokon való részvétel</w:t>
      </w:r>
    </w:p>
    <w:p w:rsidR="00417920" w:rsidRPr="00417920" w:rsidRDefault="00417920" w:rsidP="00AA458A">
      <w:pPr>
        <w:pStyle w:val="Odsekzoznamu"/>
        <w:numPr>
          <w:ilvl w:val="0"/>
          <w:numId w:val="2"/>
        </w:numPr>
        <w:spacing w:after="60" w:line="252" w:lineRule="auto"/>
        <w:jc w:val="both"/>
      </w:pPr>
      <w:r w:rsidRPr="00417920">
        <w:t xml:space="preserve">Közös kutatás más </w:t>
      </w:r>
      <w:proofErr w:type="gramStart"/>
      <w:r w:rsidRPr="00417920">
        <w:t>magyar tanítási</w:t>
      </w:r>
      <w:proofErr w:type="gramEnd"/>
      <w:r w:rsidRPr="00417920">
        <w:t xml:space="preserve"> nyelvű felsőoktatási intézményekkel</w:t>
      </w:r>
    </w:p>
    <w:p w:rsidR="00417920" w:rsidRPr="00417920" w:rsidRDefault="00417920" w:rsidP="00AA458A">
      <w:pPr>
        <w:pStyle w:val="Odsekzoznamu"/>
        <w:numPr>
          <w:ilvl w:val="0"/>
          <w:numId w:val="2"/>
        </w:numPr>
        <w:spacing w:after="60" w:line="252" w:lineRule="auto"/>
        <w:jc w:val="both"/>
      </w:pPr>
      <w:r w:rsidRPr="00417920">
        <w:t>Doktoranduszok témavezetése, kutatócsoportok támogatása</w:t>
      </w:r>
    </w:p>
    <w:p w:rsidR="00417920" w:rsidRDefault="00417920" w:rsidP="00AA458A">
      <w:pPr>
        <w:pStyle w:val="Odsekzoznamu"/>
        <w:numPr>
          <w:ilvl w:val="0"/>
          <w:numId w:val="2"/>
        </w:numPr>
        <w:spacing w:after="60" w:line="252" w:lineRule="auto"/>
        <w:jc w:val="both"/>
      </w:pPr>
      <w:r w:rsidRPr="00417920">
        <w:t>Nemzetközi kutatócsoportokhoz, kutatási hálózatokhoz való kapcsolódás</w:t>
      </w:r>
    </w:p>
    <w:p w:rsidR="00AA458A" w:rsidRDefault="00AA458A" w:rsidP="00AA458A">
      <w:pPr>
        <w:spacing w:after="60" w:line="252" w:lineRule="auto"/>
        <w:contextualSpacing/>
        <w:jc w:val="both"/>
      </w:pPr>
      <w:bookmarkStart w:id="0" w:name="_GoBack"/>
      <w:bookmarkEnd w:id="0"/>
    </w:p>
    <w:p w:rsidR="00AA458A" w:rsidRPr="00AA458A" w:rsidRDefault="00AA458A" w:rsidP="00EF3AC3">
      <w:pPr>
        <w:spacing w:after="120" w:line="252" w:lineRule="auto"/>
        <w:jc w:val="both"/>
        <w:rPr>
          <w:b/>
        </w:rPr>
      </w:pPr>
      <w:r w:rsidRPr="00AA458A">
        <w:rPr>
          <w:b/>
        </w:rPr>
        <w:t>A kutatócsoport kuratóriuma</w:t>
      </w:r>
    </w:p>
    <w:p w:rsidR="009F1FC5" w:rsidRDefault="009F1FC5" w:rsidP="009F1FC5">
      <w:pPr>
        <w:spacing w:after="60" w:line="252" w:lineRule="auto"/>
        <w:contextualSpacing/>
        <w:jc w:val="both"/>
      </w:pPr>
      <w:r>
        <w:t>Prof. Dr. Tóth Péter, PhD</w:t>
      </w:r>
    </w:p>
    <w:p w:rsidR="00AA458A" w:rsidRDefault="00AA458A" w:rsidP="00AA458A">
      <w:pPr>
        <w:spacing w:after="60" w:line="252" w:lineRule="auto"/>
        <w:contextualSpacing/>
        <w:jc w:val="both"/>
      </w:pPr>
      <w:r>
        <w:t>Dr. habil. PaedDr. Horváth Kinga, PhD</w:t>
      </w:r>
    </w:p>
    <w:p w:rsidR="00AA458A" w:rsidRDefault="00AA458A" w:rsidP="00AA458A">
      <w:pPr>
        <w:spacing w:after="60" w:line="252" w:lineRule="auto"/>
        <w:contextualSpacing/>
        <w:jc w:val="both"/>
      </w:pPr>
      <w:r>
        <w:t>PaedDr. Nagy Melinda, PhD</w:t>
      </w:r>
    </w:p>
    <w:p w:rsidR="00AA458A" w:rsidRDefault="00AA458A" w:rsidP="00AA458A">
      <w:pPr>
        <w:spacing w:after="60" w:line="252" w:lineRule="auto"/>
        <w:contextualSpacing/>
        <w:jc w:val="both"/>
      </w:pPr>
    </w:p>
    <w:p w:rsidR="00AA458A" w:rsidRPr="00AA458A" w:rsidRDefault="00AA458A" w:rsidP="00EF3AC3">
      <w:pPr>
        <w:spacing w:after="120" w:line="252" w:lineRule="auto"/>
        <w:jc w:val="both"/>
        <w:rPr>
          <w:b/>
        </w:rPr>
      </w:pPr>
      <w:r w:rsidRPr="00AA458A">
        <w:rPr>
          <w:b/>
        </w:rPr>
        <w:t>A kutatócsoport alapító tagjai</w:t>
      </w:r>
    </w:p>
    <w:p w:rsidR="009F1FC5" w:rsidRDefault="009F1FC5" w:rsidP="009F1FC5">
      <w:pPr>
        <w:spacing w:after="60" w:line="252" w:lineRule="auto"/>
        <w:contextualSpacing/>
        <w:jc w:val="both"/>
      </w:pPr>
      <w:r>
        <w:t>Prof. Dr. Tóth Péter, PhD</w:t>
      </w:r>
    </w:p>
    <w:p w:rsidR="00AA458A" w:rsidRDefault="00AA458A" w:rsidP="00AA458A">
      <w:pPr>
        <w:spacing w:after="60" w:line="252" w:lineRule="auto"/>
        <w:contextualSpacing/>
        <w:jc w:val="both"/>
      </w:pPr>
      <w:r>
        <w:t>Dr. habil. PaedDr. Horváth Kinga, PhD</w:t>
      </w:r>
    </w:p>
    <w:p w:rsidR="009F1FC5" w:rsidRDefault="009F1FC5" w:rsidP="009F1FC5">
      <w:pPr>
        <w:spacing w:after="60" w:line="252" w:lineRule="auto"/>
        <w:contextualSpacing/>
        <w:jc w:val="both"/>
      </w:pPr>
      <w:r>
        <w:t xml:space="preserve">Dr. habil. Ing. </w:t>
      </w:r>
      <w:proofErr w:type="spellStart"/>
      <w:r>
        <w:t>Szőköl</w:t>
      </w:r>
      <w:proofErr w:type="spellEnd"/>
      <w:r>
        <w:t xml:space="preserve"> István, PhD</w:t>
      </w:r>
    </w:p>
    <w:p w:rsidR="00AA458A" w:rsidRDefault="00AA458A" w:rsidP="003C446C">
      <w:pPr>
        <w:tabs>
          <w:tab w:val="left" w:pos="2853"/>
        </w:tabs>
        <w:spacing w:after="60" w:line="252" w:lineRule="auto"/>
        <w:contextualSpacing/>
        <w:jc w:val="both"/>
      </w:pPr>
      <w:r>
        <w:t>PaedDr. Nagy Melinda, PhD</w:t>
      </w:r>
      <w:r w:rsidR="003C446C">
        <w:tab/>
      </w:r>
    </w:p>
    <w:p w:rsidR="00AA458A" w:rsidRDefault="00AA458A" w:rsidP="00AA458A">
      <w:pPr>
        <w:spacing w:after="60" w:line="252" w:lineRule="auto"/>
        <w:contextualSpacing/>
        <w:jc w:val="both"/>
      </w:pPr>
      <w:r>
        <w:t>Mgr. Orsovics Yvette, PhD</w:t>
      </w:r>
    </w:p>
    <w:p w:rsidR="009F1FC5" w:rsidRDefault="009F1FC5" w:rsidP="009F1FC5">
      <w:pPr>
        <w:spacing w:after="60" w:line="252" w:lineRule="auto"/>
        <w:contextualSpacing/>
        <w:jc w:val="both"/>
      </w:pPr>
      <w:r>
        <w:t>PaedDr. Stredl Terézia, PhD</w:t>
      </w:r>
    </w:p>
    <w:p w:rsidR="009F1FC5" w:rsidRDefault="009F1FC5" w:rsidP="009F1FC5">
      <w:pPr>
        <w:spacing w:after="60" w:line="252" w:lineRule="auto"/>
        <w:contextualSpacing/>
        <w:jc w:val="both"/>
      </w:pPr>
      <w:proofErr w:type="spellStart"/>
      <w:r>
        <w:t>Kanczné</w:t>
      </w:r>
      <w:proofErr w:type="spellEnd"/>
      <w:r>
        <w:t xml:space="preserve"> Nagy Katalin, PhD</w:t>
      </w:r>
    </w:p>
    <w:p w:rsidR="00AA458A" w:rsidRDefault="00AA458A" w:rsidP="00AA458A">
      <w:pPr>
        <w:spacing w:after="60" w:line="252" w:lineRule="auto"/>
        <w:contextualSpacing/>
        <w:jc w:val="both"/>
      </w:pPr>
      <w:r>
        <w:t xml:space="preserve">PaedDr. </w:t>
      </w:r>
      <w:proofErr w:type="spellStart"/>
      <w:r>
        <w:t>Szabóová</w:t>
      </w:r>
      <w:proofErr w:type="spellEnd"/>
      <w:r>
        <w:t xml:space="preserve"> Edita, PhD</w:t>
      </w:r>
    </w:p>
    <w:p w:rsidR="00AA458A" w:rsidRDefault="00AA458A" w:rsidP="00AA458A">
      <w:pPr>
        <w:spacing w:after="60" w:line="252" w:lineRule="auto"/>
        <w:contextualSpacing/>
        <w:jc w:val="both"/>
      </w:pPr>
      <w:r>
        <w:t>Mgr. Tóth-Bakos Anita, PhD</w:t>
      </w:r>
    </w:p>
    <w:p w:rsidR="00AA458A" w:rsidRDefault="00AA458A" w:rsidP="00AA458A">
      <w:pPr>
        <w:spacing w:after="60" w:line="252" w:lineRule="auto"/>
        <w:contextualSpacing/>
        <w:jc w:val="both"/>
      </w:pPr>
    </w:p>
    <w:p w:rsidR="00AA458A" w:rsidRPr="00417920" w:rsidRDefault="003C446C" w:rsidP="00AA458A">
      <w:pPr>
        <w:spacing w:after="60" w:line="252" w:lineRule="auto"/>
        <w:contextualSpacing/>
        <w:jc w:val="both"/>
      </w:pPr>
      <w:r>
        <w:t xml:space="preserve">2017. december 20. </w:t>
      </w:r>
    </w:p>
    <w:sectPr w:rsidR="00AA458A" w:rsidRPr="00417920" w:rsidSect="00AA458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62629"/>
    <w:multiLevelType w:val="hybridMultilevel"/>
    <w:tmpl w:val="37D0A82E"/>
    <w:lvl w:ilvl="0" w:tplc="0BFE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D7D10"/>
    <w:multiLevelType w:val="hybridMultilevel"/>
    <w:tmpl w:val="55F86310"/>
    <w:lvl w:ilvl="0" w:tplc="3E0E27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85"/>
    <w:rsid w:val="00034185"/>
    <w:rsid w:val="003C446C"/>
    <w:rsid w:val="00413C0F"/>
    <w:rsid w:val="00417920"/>
    <w:rsid w:val="006B01C0"/>
    <w:rsid w:val="009F1FC5"/>
    <w:rsid w:val="00A47BC3"/>
    <w:rsid w:val="00AA458A"/>
    <w:rsid w:val="00EF3AC3"/>
    <w:rsid w:val="00FB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54F3B-69D9-4FED-9C48-60A0D0D5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17920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FB1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7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ronais</cp:lastModifiedBy>
  <cp:revision>2</cp:revision>
  <dcterms:created xsi:type="dcterms:W3CDTF">2018-03-05T12:31:00Z</dcterms:created>
  <dcterms:modified xsi:type="dcterms:W3CDTF">2018-03-05T12:31:00Z</dcterms:modified>
</cp:coreProperties>
</file>